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9" w:rsidRPr="00A776BF" w:rsidRDefault="00450189" w:rsidP="00A776B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7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</w:t>
      </w:r>
    </w:p>
    <w:p w:rsidR="00450189" w:rsidRPr="00A776BF" w:rsidRDefault="00450189" w:rsidP="00A776B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50189" w:rsidRPr="00A776BF" w:rsidRDefault="00450189" w:rsidP="00A776B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7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Bonyhád Város Önkormányzati Képviselő- testületének 2019. október 20-i</w:t>
      </w:r>
    </w:p>
    <w:p w:rsidR="00450189" w:rsidRPr="00A776BF" w:rsidRDefault="00450189" w:rsidP="00A776B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76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alakuló ülésére</w:t>
      </w:r>
    </w:p>
    <w:p w:rsidR="00450189" w:rsidRPr="00A776BF" w:rsidRDefault="00450189" w:rsidP="00A776B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222" w:type="dxa"/>
        <w:tblInd w:w="-5" w:type="dxa"/>
        <w:tblLayout w:type="fixed"/>
        <w:tblLook w:val="0000"/>
      </w:tblPr>
      <w:tblGrid>
        <w:gridCol w:w="4606"/>
        <w:gridCol w:w="4616"/>
      </w:tblGrid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2C46D8" w:rsidP="00A776B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hAnsi="Times New Roman" w:cs="Times New Roman"/>
                <w:bCs/>
                <w:sz w:val="24"/>
                <w:szCs w:val="24"/>
              </w:rPr>
              <w:t>Tájékoztató az önkormányzati képviselőkre vonatkozó összeférhetetlenségi esetekről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38591E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Dr. Puskásné Dr. Szeghy Petra jegyző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Dr. Puskásné Dr. Szeghy Petra jegyző</w:t>
            </w:r>
            <w:r w:rsidR="0074126E"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Dr. Márton Antal aljegyző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2C46D8"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60</w:t>
            </w: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sz.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50189" w:rsidRPr="00A776BF" w:rsidRDefault="0038591E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Dr. Márton Antal aljegyző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egyszerű</w:t>
            </w: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/minősített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rendelet/</w:t>
            </w: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határozat</w:t>
            </w: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(normatív, hatósági, egyéb)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nyílt ülésen kell</w:t>
            </w: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/zárt ülésen kell/zárt ülésen lehet tárgyalni</w:t>
            </w:r>
          </w:p>
        </w:tc>
      </w:tr>
      <w:tr w:rsidR="00450189" w:rsidRPr="00A776BF" w:rsidTr="0045018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50189" w:rsidRPr="00A776BF" w:rsidRDefault="00450189" w:rsidP="00A776B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7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Filóné Ferencz Ibolya polgármester</w:t>
            </w:r>
          </w:p>
        </w:tc>
      </w:tr>
    </w:tbl>
    <w:p w:rsidR="00CF32D0" w:rsidRPr="00A776BF" w:rsidRDefault="00CF32D0" w:rsidP="00A776B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76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AE0790" w:rsidRPr="00A776BF" w:rsidRDefault="006F1113" w:rsidP="00A776B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A választott képviselők, polgármesterek a választópolgárok bizalmából, a választáson kapott felhatalmazás alapján döntenek a helyi közösséget érintő ügyekben. Ahhoz, hogy ezt a tevékenységüket felelősséggel, a köz érdekében és külső befolyástól mentesen lássák el, a jogalkotó többféle előírást határoz meg működésükkel, tevékenységükkel kapcsolatban.</w:t>
      </w:r>
      <w:r w:rsidR="00AE0790" w:rsidRPr="00A77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 xml:space="preserve">A választók többségének bizalmát élvező képviselők esetében is szükséges szabályozni, hogy az érintett vagyona, vagyonának változása megbízatásának időtartama alatt követhető legyen. </w:t>
      </w:r>
    </w:p>
    <w:p w:rsidR="00A776BF" w:rsidRPr="00A776BF" w:rsidRDefault="00A776BF" w:rsidP="00A776BF">
      <w:pPr>
        <w:pStyle w:val="Szvegtrzs"/>
        <w:spacing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Az összeférhetetlenségi esetkörök tekintetében két nagy szabálycsoport különböztethető meg.</w:t>
      </w:r>
    </w:p>
    <w:p w:rsidR="00A776BF" w:rsidRPr="00A776BF" w:rsidRDefault="00A776BF" w:rsidP="00A776BF">
      <w:pPr>
        <w:pStyle w:val="Szvegtrzs"/>
        <w:spacing w:before="196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Az egyik csoportot Magyarország helyi önkormányzatairól szóló 2011. évi CLXXXIX. törvényben (a továbbiakban: Mötv.) meghatározott szabályok képezik, és ezen esetekben a képviselő-testület állapít(hat)ja meg az összeférhetetlenség fennállását.</w:t>
      </w:r>
    </w:p>
    <w:p w:rsidR="00A776BF" w:rsidRPr="00A776BF" w:rsidRDefault="00A776BF" w:rsidP="00A776BF">
      <w:pPr>
        <w:spacing w:before="195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 xml:space="preserve">A másik csoportba tartozó okokat, eseteket azok a jogszabályok tartalmazzák, amelyek egy adott tevékenység gyakorlása tekintetében állapítanak meg tiltó szabályt önkormányzati megbízatás, tisztség betöltése vonatkozásában. Ezeket szoktuk „fordított” összeférhetetlenségi eseteknek nevezni. Az összeférhetetlenség vizsgálata ekkor nem képviselő-testületi hatáskörbe tartozik, hanem az adott tevékenység tekintetében az érintett személy munkáltatójának kinevezőjének kell döntenie az összeférhetetlenségről. Természetesen </w:t>
      </w:r>
      <w:r w:rsidRPr="00A776BF">
        <w:rPr>
          <w:rFonts w:ascii="Times New Roman" w:hAnsi="Times New Roman" w:cs="Times New Roman"/>
          <w:bCs/>
          <w:sz w:val="24"/>
          <w:szCs w:val="24"/>
        </w:rPr>
        <w:lastRenderedPageBreak/>
        <w:t>mindkét esetben csak akkor kell a testületnek, illetve a munkáltatónak döntést hoznia, ha az érintett az összeférhetetlen helyzetet önmaga nem szünteti meg.</w:t>
      </w:r>
    </w:p>
    <w:p w:rsidR="00A776BF" w:rsidRPr="00A776BF" w:rsidRDefault="00A776BF" w:rsidP="00A776BF">
      <w:pPr>
        <w:pStyle w:val="Szvegtrzs"/>
        <w:spacing w:before="246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Az Mötv. 36. §-a sorolja fel az önkormányzati képviselőre (valamint a képviselő-testület bizottságának nem képviselő tagjára) vonatkozó összeférhetetlenségi eseteket.</w:t>
      </w:r>
    </w:p>
    <w:p w:rsidR="00A776BF" w:rsidRPr="00A776BF" w:rsidRDefault="00A776BF" w:rsidP="00A776BF">
      <w:pPr>
        <w:pStyle w:val="Cmsor5"/>
        <w:spacing w:before="193" w:line="276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sz w:val="24"/>
          <w:szCs w:val="24"/>
        </w:rPr>
        <w:t>„36. § (1) Az önkormányzati képviselő, valamint a képviselő-testület bizottságának nem képviselő tagja nem folytathat olyan tevékenységet, amely a feladatainak ellátásához szükséges</w:t>
      </w:r>
    </w:p>
    <w:p w:rsidR="00A776BF" w:rsidRPr="00A776BF" w:rsidRDefault="00A776BF" w:rsidP="00A776BF">
      <w:pPr>
        <w:spacing w:before="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közbizalmat megingathatja, továbbá nem lehet …”</w:t>
      </w: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52"/>
        </w:tabs>
        <w:spacing w:line="273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országgyűlési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képviselő,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valamint</w:t>
      </w:r>
      <w:r w:rsidRPr="00A776B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aki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olyan</w:t>
      </w:r>
      <w:r w:rsidRPr="00A776BF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tisztséget</w:t>
      </w:r>
      <w:r w:rsidRPr="00A776B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tölt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be,</w:t>
      </w:r>
      <w:r w:rsidRPr="00A776B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olyan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feladatot</w:t>
      </w:r>
      <w:r w:rsidRPr="00A776B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lát</w:t>
      </w:r>
      <w:r w:rsidRPr="00A776B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el,</w:t>
      </w:r>
      <w:r w:rsidRPr="00A776B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amelyre kinevezését, megbízatását az Országgyűléstől, köztársasági elnöktől, Kormánytól,</w:t>
      </w:r>
      <w:r w:rsidRPr="00A776BF">
        <w:rPr>
          <w:rFonts w:ascii="Times New Roman" w:hAnsi="Times New Roman" w:cs="Times New Roman"/>
          <w:bCs/>
          <w:i/>
          <w:spacing w:val="-22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Kormány</w:t>
      </w:r>
    </w:p>
    <w:p w:rsidR="00A776BF" w:rsidRPr="00A776BF" w:rsidRDefault="00A776BF" w:rsidP="00A776BF">
      <w:pPr>
        <w:spacing w:before="5" w:line="27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tagjától vagy az Országgyűlés, Kormány alárendeltségébe tartozó szervtől (vezetőjétől) kapta, kivéve</w:t>
      </w:r>
    </w:p>
    <w:p w:rsidR="00A776BF" w:rsidRPr="00A776BF" w:rsidRDefault="00A776BF" w:rsidP="00A776BF">
      <w:pPr>
        <w:spacing w:before="34" w:line="278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aa) ha ezen megbízatás keretében tudományos, oktatói, művészeti, lektori, szerkesztői, valamint a jogi oltalom alá eső szellemi tevékenységet lát el;</w:t>
      </w:r>
    </w:p>
    <w:p w:rsidR="00A776BF" w:rsidRPr="00A776BF" w:rsidRDefault="00A776BF" w:rsidP="00A776BF">
      <w:pPr>
        <w:spacing w:before="1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ab) egészségügyi intézmény főigazgatója, gazdasági vezetője, orvos, egészségügyi dolgozó,</w:t>
      </w:r>
    </w:p>
    <w:p w:rsidR="00A776BF" w:rsidRPr="00A776BF" w:rsidRDefault="00A776BF" w:rsidP="00A776BF">
      <w:pPr>
        <w:spacing w:before="41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köznevelési intézmény vezetője, foglalkoztatottja, szociális intézmény vezetője, foglalkoztatottja, gyermekjóléti és gyermekvédelmi intézmény vezetője, foglalkoztatottja;</w:t>
      </w:r>
    </w:p>
    <w:p w:rsidR="00A776BF" w:rsidRPr="00A776BF" w:rsidRDefault="00A776BF" w:rsidP="00A776BF">
      <w:pPr>
        <w:pStyle w:val="Szvegtrzs"/>
        <w:spacing w:before="5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54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központi államigazgatási szerv vezetője, köztisztviselője;</w:t>
      </w:r>
      <w:r w:rsidRPr="00A776BF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 </w:t>
      </w:r>
    </w:p>
    <w:p w:rsidR="00A776BF" w:rsidRPr="00A776BF" w:rsidRDefault="00A776BF" w:rsidP="00A776BF">
      <w:pPr>
        <w:pStyle w:val="Szvegtrzs"/>
        <w:spacing w:before="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27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kormánytisztviselő;</w:t>
      </w:r>
      <w:r w:rsidRPr="00A776B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</w:t>
      </w:r>
    </w:p>
    <w:p w:rsidR="00A776BF" w:rsidRPr="00A776BF" w:rsidRDefault="00A776BF" w:rsidP="00A776BF">
      <w:pPr>
        <w:pStyle w:val="Szvegtrzs"/>
        <w:spacing w:before="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52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a Magyar Honvédség, a Katonai Nemzetbiztonsági Szolgálat hivatásos vagy szerződéses állományú tagja, rendvédelmi szerv, az Országgyűlési Őrség vagy a Nemzeti Adó- és Vámhivatal hivatásos állományú tagja;</w:t>
      </w:r>
    </w:p>
    <w:p w:rsidR="00A776BF" w:rsidRPr="00A776BF" w:rsidRDefault="00A776BF" w:rsidP="00A776BF">
      <w:pPr>
        <w:pStyle w:val="Szvegtrzs"/>
        <w:spacing w:before="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45"/>
        </w:tabs>
        <w:spacing w:line="278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jegyző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(főjegyző),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aljegyző,</w:t>
      </w:r>
      <w:r w:rsidRPr="00A776B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polgármesteri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hivatal</w:t>
      </w:r>
      <w:r w:rsidRPr="00A776BF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vagy</w:t>
      </w:r>
      <w:r w:rsidRPr="00A776B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közös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önkormányzati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hivatal köztisztviselője,</w:t>
      </w:r>
      <w:r w:rsidRPr="00A776BF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alkalmazottja;</w:t>
      </w:r>
    </w:p>
    <w:p w:rsidR="00A776BF" w:rsidRPr="00A776BF" w:rsidRDefault="00A776BF" w:rsidP="00A776BF">
      <w:pPr>
        <w:pStyle w:val="Szvegtrzs"/>
        <w:spacing w:before="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06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más települési önkormányzatnál képviselő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776BF" w:rsidRPr="00A776BF" w:rsidRDefault="00A776BF" w:rsidP="00A776BF">
      <w:pPr>
        <w:pStyle w:val="Szvegtrzs"/>
        <w:spacing w:before="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52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más települési önkormányzatnál polgármester, alpolgármester;</w:t>
      </w:r>
    </w:p>
    <w:p w:rsidR="00A776BF" w:rsidRPr="00A776BF" w:rsidRDefault="00A776BF" w:rsidP="00A776BF">
      <w:pPr>
        <w:pStyle w:val="Szvegtrzs"/>
        <w:spacing w:before="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352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a helyi önkormányzat által alapított vagy tulajdoni részesedésével működő gazdasági társaság, továbbá a helyi önkormányzat tulajdoni részesedésével működő gazdasági társaság által alapított gazdasági</w:t>
      </w:r>
      <w:r w:rsidRPr="00A776BF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társaság</w:t>
      </w:r>
      <w:r w:rsidRPr="00A776BF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legfőbb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szervének,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ügyvezetésének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tagja,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személyes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közreműködője,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képviselet ellátására jogosultja;</w:t>
      </w:r>
    </w:p>
    <w:p w:rsidR="00A776BF" w:rsidRPr="00A776BF" w:rsidRDefault="00A776BF" w:rsidP="00A776BF">
      <w:pPr>
        <w:pStyle w:val="Szvegtrzs"/>
        <w:spacing w:before="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1"/>
        </w:numPr>
        <w:tabs>
          <w:tab w:val="left" w:pos="242"/>
        </w:tabs>
        <w:spacing w:before="1" w:line="276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76BF">
        <w:rPr>
          <w:rFonts w:ascii="Times New Roman" w:hAnsi="Times New Roman" w:cs="Times New Roman"/>
          <w:bCs/>
          <w:i/>
          <w:sz w:val="24"/>
          <w:szCs w:val="24"/>
        </w:rPr>
        <w:t>médiatartalom-szolgáltató természetes személy, jogi személy, gazdasági társaság legfőbb szervének,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ügyvezetésének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tagja,</w:t>
      </w:r>
      <w:r w:rsidRPr="00A776BF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személyes</w:t>
      </w:r>
      <w:r w:rsidRPr="00A776BF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közreműködője,</w:t>
      </w:r>
      <w:r w:rsidRPr="00A776BF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képviselet</w:t>
      </w:r>
      <w:r w:rsidRPr="00A776BF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ellátására</w:t>
      </w:r>
      <w:r w:rsidRPr="00A776BF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i/>
          <w:sz w:val="24"/>
          <w:szCs w:val="24"/>
        </w:rPr>
        <w:t>jogosultja.”.</w:t>
      </w:r>
    </w:p>
    <w:p w:rsidR="00A776BF" w:rsidRPr="00A776BF" w:rsidRDefault="00A776BF" w:rsidP="00A776BF">
      <w:pPr>
        <w:pStyle w:val="Szvegtrzs"/>
        <w:spacing w:before="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776BF" w:rsidRPr="00A776BF" w:rsidRDefault="00A776BF" w:rsidP="00A776BF">
      <w:pPr>
        <w:pStyle w:val="Szvegtrzs"/>
        <w:spacing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lastRenderedPageBreak/>
        <w:t>Az Mötv. hatályos szabályozása már nem csak a médiával kapcsolatos helyi érintettséget jelentő pozíciókat teszi összeférhetetlenné, továbbá nem a konkrét elnevezések, hanem a hatáskörök oldaláról közelíti meg és szabályozza a kérdést.</w:t>
      </w:r>
    </w:p>
    <w:p w:rsidR="00A776BF" w:rsidRPr="00A776BF" w:rsidRDefault="00A776BF" w:rsidP="00A776BF">
      <w:pPr>
        <w:spacing w:before="1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Médiatartalom: valamennyi médiaszolgáltatás során, valamint sajtótermék által kínált tartalom.</w:t>
      </w:r>
    </w:p>
    <w:p w:rsidR="00A776BF" w:rsidRPr="00A776BF" w:rsidRDefault="00A776BF" w:rsidP="00A776BF">
      <w:pPr>
        <w:spacing w:before="36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hAnsi="Times New Roman" w:cs="Times New Roman"/>
          <w:bCs/>
          <w:sz w:val="24"/>
          <w:szCs w:val="24"/>
        </w:rPr>
        <w:t>Médiaszolgáltató: az a természetes vagy jogi személy, aki vagy amely szerkesztői felelősséggel rendelkezik a médiaszolgáltatás tartalmának megválasztásáért, és meghatározza annak összeállítását. A</w:t>
      </w:r>
      <w:r w:rsidRPr="00A776BF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szerkesztői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felelősség</w:t>
      </w:r>
      <w:r w:rsidRPr="00A776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a</w:t>
      </w:r>
      <w:r w:rsidRPr="00A776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médiatartalom</w:t>
      </w:r>
      <w:r w:rsidRPr="00A776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kiválasztása</w:t>
      </w:r>
      <w:r w:rsidRPr="00A776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és</w:t>
      </w:r>
      <w:r w:rsidRPr="00A776B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összeállítása</w:t>
      </w:r>
      <w:r w:rsidRPr="00A776B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során</w:t>
      </w:r>
      <w:r w:rsidRPr="00A776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megvalósuló</w:t>
      </w:r>
      <w:r w:rsidRPr="00A776B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tényleges</w:t>
      </w:r>
      <w:r w:rsidRPr="00A776B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ellenőrzésért</w:t>
      </w:r>
      <w:r w:rsidRPr="00A776B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való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felelősséget jelenti, és nem eredményez szükségszerűen jogi felelősséget a médiaszolgáltatás tekintetében.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Cs/>
          <w:sz w:val="24"/>
          <w:szCs w:val="24"/>
        </w:rPr>
        <w:t>fentiek alapján alapvetően szerkesztői, vagy egyéb, a tartalom meghatározásra érdemi befolyással bíró – igen széles skálán mozgó – pozíciókat kell összeférhetetlennek tekintenünk, amit szintén esetenként lehet vizsgálni.</w:t>
      </w:r>
    </w:p>
    <w:p w:rsidR="00A776BF" w:rsidRPr="00A776BF" w:rsidRDefault="00A776BF" w:rsidP="00A776BF">
      <w:pPr>
        <w:pStyle w:val="Cmsor5"/>
        <w:spacing w:line="278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sz w:val="24"/>
          <w:szCs w:val="24"/>
        </w:rPr>
        <w:t>36.§ (2) A települési önkormányzati képviselő nem lehet a megyei közgyűlés elnöke, alelnöke, főpolgármester, főpolgármester-helyettes.</w:t>
      </w:r>
    </w:p>
    <w:p w:rsidR="00A776BF" w:rsidRDefault="00A776BF" w:rsidP="00A776BF">
      <w:pPr>
        <w:pStyle w:val="Szvegtrzs"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BF" w:rsidRPr="00A776BF" w:rsidRDefault="00A776BF" w:rsidP="00A776BF">
      <w:pPr>
        <w:pStyle w:val="Szvegtrzs"/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776BF">
        <w:rPr>
          <w:rFonts w:ascii="Times New Roman" w:hAnsi="Times New Roman" w:cs="Times New Roman"/>
          <w:sz w:val="24"/>
          <w:szCs w:val="24"/>
        </w:rPr>
        <w:t>z Mötv. 36. § (1) bekezdése alapján az önkormányzati képviselő összeférhetetlenségére vonatkozó rendelkezéseket a bizottság nem a képviselő-testületi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>tagjára is alkalmazni kell, amelyet az utaló rendelkezés is megerősít.</w:t>
      </w:r>
    </w:p>
    <w:p w:rsidR="00A776BF" w:rsidRPr="00A776BF" w:rsidRDefault="00A776BF" w:rsidP="00A776BF">
      <w:pPr>
        <w:pStyle w:val="Szvegtrzs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A776BF" w:rsidRPr="00A776BF" w:rsidRDefault="00A776BF" w:rsidP="00A776BF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776BF">
        <w:rPr>
          <w:rFonts w:ascii="Times New Roman" w:hAnsi="Times New Roman" w:cs="Times New Roman"/>
          <w:sz w:val="24"/>
          <w:szCs w:val="24"/>
        </w:rPr>
        <w:t xml:space="preserve">z Mötv. 40.§ (2) és (3) bekezdései </w:t>
      </w:r>
      <w:r>
        <w:rPr>
          <w:rFonts w:ascii="Times New Roman" w:hAnsi="Times New Roman" w:cs="Times New Roman"/>
          <w:sz w:val="24"/>
          <w:szCs w:val="24"/>
        </w:rPr>
        <w:t>alapján</w:t>
      </w:r>
      <w:r w:rsidRPr="00A776BF">
        <w:rPr>
          <w:rFonts w:ascii="Times New Roman" w:hAnsi="Times New Roman" w:cs="Times New Roman"/>
          <w:sz w:val="24"/>
          <w:szCs w:val="24"/>
        </w:rPr>
        <w:t>:</w:t>
      </w:r>
    </w:p>
    <w:p w:rsidR="00A776BF" w:rsidRPr="00A776BF" w:rsidRDefault="00A776BF" w:rsidP="00A776BF">
      <w:pPr>
        <w:pStyle w:val="Szvegtrzs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A776BF" w:rsidRPr="00A776BF" w:rsidRDefault="00A776BF" w:rsidP="00A776BF">
      <w:pPr>
        <w:pStyle w:val="Cmsor5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„(2) A képviselő-testület bizottságának nem képviselő tagjával szemben fennálló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összeférhetetlenségre az önkormányzati képviselőkre vonatkozó szabályokat kell alkalmazni azzal az eltéréssel, hogy ha a képviselő-testület bizottságának nem képviselő tagja harminc (30) napon belül nem szünteti meg a vele szemben fennálló összeférhetetlenségi okot, a képviselő-testület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köteles a határidő lejártát követő ülésén az érintett bizottsági tagságát megszüntetni. E döntés ellen jogorvoslatnak helye nincs.</w:t>
      </w:r>
    </w:p>
    <w:p w:rsidR="00A776BF" w:rsidRPr="00A776BF" w:rsidRDefault="00A776BF" w:rsidP="00A776BF">
      <w:pPr>
        <w:spacing w:before="196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6BF">
        <w:rPr>
          <w:rFonts w:ascii="Times New Roman" w:hAnsi="Times New Roman" w:cs="Times New Roman"/>
          <w:i/>
          <w:sz w:val="24"/>
          <w:szCs w:val="24"/>
        </w:rPr>
        <w:t>(3) A képviselő-testület bizottságának nem képviselő tagjára az önkormányzati képviselőkre vonatkozó méltatlansági szabályokat kell alkalmazni azzal az eltéréssel, hogy a képviselő-testület köteles a méltatlansági feltételek beálltát követő ülésén az érintett bizottsági tagságát</w:t>
      </w:r>
    </w:p>
    <w:p w:rsidR="00A776BF" w:rsidRPr="00A776BF" w:rsidRDefault="00A776BF" w:rsidP="00A776BF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i/>
          <w:sz w:val="24"/>
          <w:szCs w:val="24"/>
        </w:rPr>
        <w:t>megszüntetni. A képviselő-testület döntése ellen jogorvoslatnak helye nincs.”</w:t>
      </w:r>
      <w:r w:rsidRPr="00A776BF">
        <w:rPr>
          <w:rFonts w:ascii="Times New Roman" w:hAnsi="Times New Roman" w:cs="Times New Roman"/>
          <w:sz w:val="24"/>
          <w:szCs w:val="24"/>
        </w:rPr>
        <w:t>.</w:t>
      </w:r>
    </w:p>
    <w:p w:rsidR="00A776BF" w:rsidRPr="00A776BF" w:rsidRDefault="00A776BF" w:rsidP="00A776BF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 nem képviselő bizottsági tag nem a választópolgárok bizalmából, hanem „csak” a képviselő-testület döntése alapján tölti be pozícióját. Az idézett rendelkezések szerint a nem képviselő bizottsági tagra alapvetően a képviselőre vonatkozó összeférhetetlenségi és méltatlansági szabályokat kell</w:t>
      </w:r>
      <w:r w:rsidRPr="00A776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>alkalmazni.</w:t>
      </w:r>
    </w:p>
    <w:p w:rsidR="00A776BF" w:rsidRPr="00A776BF" w:rsidRDefault="00A776BF" w:rsidP="00A776BF">
      <w:pPr>
        <w:pStyle w:val="Szvegtrzs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A776BF" w:rsidRPr="00A776BF" w:rsidRDefault="00A776BF" w:rsidP="00A776BF">
      <w:pPr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Jelentős különbség van azonban az eljárásrend és a jogkövetkezmények tekintetében. Mivel a nem képviselő bizottsági tag a képviselő-testülettel van függő viszonyban, így ha az összeférhetetlen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>helyzetet nem szünteti meg, vagy a méltatlanság fennállása esetén – a képviselőkre vonatkozó hosszabb, jogorvoslati lehetőséget is biztosító eljárás helyett – az Mötv. azt mondja ki, hogy ilyen esetben a bizottsági tagságot kell megszüntetni.</w:t>
      </w:r>
    </w:p>
    <w:p w:rsidR="00A776BF" w:rsidRPr="00A776BF" w:rsidRDefault="00A776BF" w:rsidP="00A776BF">
      <w:pPr>
        <w:pStyle w:val="Szvegtrzs"/>
        <w:spacing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lastRenderedPageBreak/>
        <w:t>Az ilyen döntés ellen nincs helye jogorvoslatnak, hiszen a képviselő-testület egyébként is bármikor, akár indokolás nélkül megszüntetheti a bizottsági tagságot.</w:t>
      </w:r>
    </w:p>
    <w:p w:rsidR="00A776BF" w:rsidRPr="00A776BF" w:rsidRDefault="00A776BF" w:rsidP="00A776BF">
      <w:pPr>
        <w:spacing w:before="195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Pr="00A776BF">
        <w:rPr>
          <w:rFonts w:ascii="Times New Roman" w:hAnsi="Times New Roman" w:cs="Times New Roman"/>
          <w:sz w:val="24"/>
          <w:szCs w:val="24"/>
        </w:rPr>
        <w:t>polgármesterre, alpolgármesterre vonatkozó összeférhetetlenségi szabályok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76BF" w:rsidRPr="00A776BF" w:rsidRDefault="00A776BF" w:rsidP="00880405">
      <w:pPr>
        <w:spacing w:before="19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 xml:space="preserve">Az Mötv. a települések lakosságszámához mérten differenciáltan szabályozza a polgármesterek összeférhetetlenségét. </w:t>
      </w:r>
    </w:p>
    <w:p w:rsidR="00A776BF" w:rsidRPr="00A776BF" w:rsidRDefault="00A776BF" w:rsidP="00A776BF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 részletes szabályok az alábbiak:</w:t>
      </w:r>
    </w:p>
    <w:p w:rsidR="00A776BF" w:rsidRPr="00A776BF" w:rsidRDefault="00A776BF" w:rsidP="00A776BF">
      <w:pPr>
        <w:pStyle w:val="Szvegtrzs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A776BF" w:rsidRPr="00A776BF" w:rsidRDefault="00A776BF" w:rsidP="00A776BF">
      <w:pPr>
        <w:pStyle w:val="Cmsor5"/>
        <w:spacing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„72. § (1) Az 1500 fő és az az alatti lakosságszámú település polgármesterének az összeférhetetlenségére a 36. §-t kell alkalmazni.</w:t>
      </w:r>
    </w:p>
    <w:p w:rsidR="00A776BF" w:rsidRPr="00A776BF" w:rsidRDefault="00A776BF" w:rsidP="00A776BF">
      <w:pPr>
        <w:pStyle w:val="Szvegtrzs"/>
        <w:spacing w:before="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76BF" w:rsidRPr="00A776BF" w:rsidRDefault="00A776BF" w:rsidP="00A776BF">
      <w:pPr>
        <w:pStyle w:val="Listaszerbekezds"/>
        <w:numPr>
          <w:ilvl w:val="0"/>
          <w:numId w:val="3"/>
        </w:numPr>
        <w:tabs>
          <w:tab w:val="left" w:pos="416"/>
        </w:tabs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6BF">
        <w:rPr>
          <w:rFonts w:ascii="Times New Roman" w:hAnsi="Times New Roman" w:cs="Times New Roman"/>
          <w:i/>
          <w:sz w:val="24"/>
          <w:szCs w:val="24"/>
        </w:rPr>
        <w:t>Az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1500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fő</w:t>
      </w:r>
      <w:r w:rsidRPr="00A776B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feletti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lakosságszámú</w:t>
      </w:r>
      <w:r w:rsidRPr="00A776B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település</w:t>
      </w:r>
      <w:r w:rsidRPr="00A776B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főállású</w:t>
      </w:r>
      <w:r w:rsidRPr="00A776B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polgármestere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tudományos,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oktatói,</w:t>
      </w:r>
      <w:r w:rsidRPr="00A776B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lektori, szerkesztői, művészeti és jogi oltalom alá eső szellemi tevékenység kivételével</w:t>
      </w:r>
      <w:r w:rsidRPr="00A776BF">
        <w:rPr>
          <w:rFonts w:ascii="Times New Roman" w:hAnsi="Times New Roman" w:cs="Times New Roman"/>
          <w:i/>
          <w:spacing w:val="-21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egyéb,</w:t>
      </w:r>
    </w:p>
    <w:p w:rsidR="00A776BF" w:rsidRPr="00A776BF" w:rsidRDefault="00A776BF" w:rsidP="00A776BF">
      <w:pPr>
        <w:spacing w:before="2" w:line="27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6BF">
        <w:rPr>
          <w:rFonts w:ascii="Times New Roman" w:hAnsi="Times New Roman" w:cs="Times New Roman"/>
          <w:i/>
          <w:sz w:val="24"/>
          <w:szCs w:val="24"/>
        </w:rPr>
        <w:t>munkavégzésre irányuló jogviszonyt nem létesíthet, más kereső foglalkozást nem folytathat, nem lehet gazdasági társaság személyesen közreműködő tagja.</w:t>
      </w:r>
    </w:p>
    <w:p w:rsidR="00A776BF" w:rsidRPr="00617210" w:rsidRDefault="00A776BF" w:rsidP="00617210">
      <w:pPr>
        <w:pStyle w:val="Listaszerbekezds"/>
        <w:numPr>
          <w:ilvl w:val="0"/>
          <w:numId w:val="3"/>
        </w:numPr>
        <w:tabs>
          <w:tab w:val="left" w:pos="416"/>
        </w:tabs>
        <w:spacing w:before="195" w:after="12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i/>
          <w:sz w:val="24"/>
          <w:szCs w:val="24"/>
        </w:rPr>
        <w:t>Az</w:t>
      </w:r>
      <w:r w:rsidRPr="00A776B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1500</w:t>
      </w:r>
      <w:r w:rsidRPr="00A776B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fő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feletti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lakosságszámú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település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társadalmi</w:t>
      </w:r>
      <w:r w:rsidRPr="00A776B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megbízatású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polgármesterének</w:t>
      </w:r>
      <w:r w:rsidRPr="00A776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i/>
          <w:sz w:val="24"/>
          <w:szCs w:val="24"/>
        </w:rPr>
        <w:t>az összeférhetetlenségére a 36. §-t - a 36. § (1) bekezdés a) pont ab) alpontja kivételével - kell alkalmazni.”</w:t>
      </w:r>
      <w:r w:rsidRPr="00A776BF">
        <w:rPr>
          <w:rFonts w:ascii="Times New Roman" w:hAnsi="Times New Roman" w:cs="Times New Roman"/>
          <w:sz w:val="24"/>
          <w:szCs w:val="24"/>
        </w:rPr>
        <w:t>.</w:t>
      </w:r>
    </w:p>
    <w:p w:rsidR="00A776BF" w:rsidRPr="00A776BF" w:rsidRDefault="00880405" w:rsidP="00A776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A776BF" w:rsidRPr="00A776BF">
        <w:rPr>
          <w:rFonts w:ascii="Times New Roman" w:hAnsi="Times New Roman" w:cs="Times New Roman"/>
          <w:sz w:val="24"/>
          <w:szCs w:val="24"/>
        </w:rPr>
        <w:t xml:space="preserve"> 1500 fő és az alatti lakosságszámú település polgármesterére az önkormányzati képviselőkre vonatkozó összeférhetetlenségi szabályokat kell alkalmazni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6BF" w:rsidRPr="00A776BF" w:rsidRDefault="00A776BF" w:rsidP="0061721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Az 1500 fő lakosságszám feletti település főállású polgármestere tekintetében a szabályozás szigorúbb előírásokat tartalmaz: más kereső tevékenységet – a törvényben felsorolt kivételekkel (oktatói, lektori, művészeti és jogi oltalom alá eső szellemi tevékenység) – nem folytathat, nem lehet gazdasági társaság személyesen közreműködő tagja. (Ez utóbbi esetben – mint arra már</w:t>
      </w:r>
      <w:r w:rsidR="00880405">
        <w:rPr>
          <w:rFonts w:ascii="Times New Roman" w:hAnsi="Times New Roman" w:cs="Times New Roman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>korábban utaltunk – a gazdasági társaságokra vonatkozó törvényi szabályozás alapján lehet megállapítani, hogy a konkrét esetben ki minősül „személyesen közreműködő” tagnak.)</w:t>
      </w:r>
    </w:p>
    <w:p w:rsidR="00A776BF" w:rsidRPr="00A776BF" w:rsidRDefault="00A776BF" w:rsidP="00617210">
      <w:pPr>
        <w:pStyle w:val="Szvegtrzs"/>
        <w:spacing w:before="34" w:after="120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Az Mötv. 72.§ (4) bekezdése egy általános utaló szabályt – amelyre a korábbiakban részben kitértünk</w:t>
      </w:r>
      <w:r w:rsidR="00880405">
        <w:rPr>
          <w:rFonts w:ascii="Times New Roman" w:hAnsi="Times New Roman" w:cs="Times New Roman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>– tartalmaz, másrészt pedig korlátozza egyes önkormányzati pozíciók együttes betöltését.</w:t>
      </w:r>
    </w:p>
    <w:p w:rsidR="00A776BF" w:rsidRPr="00A776BF" w:rsidRDefault="00A776BF" w:rsidP="00A776BF">
      <w:pPr>
        <w:pStyle w:val="Cmsor5"/>
        <w:spacing w:line="276" w:lineRule="auto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„(4) A polgármesterre megfelelően alkalmazni kell az önkormányzati képviselőre vonatkozó összeférhetetlenségi, méltatlansági, vagyonnyilatkozat-tételi szabályokat azzal, hogy a polgármester nem lehet más önkormányzatnál polgármester, alpolgármester, települési önkormányzati képviselő, megyei közgyűlés elnöke, alelnöke, kivéve, hogy a fővárosi kerületi polgármester a fővárosi közgyűlés tagja. A fővárosi kerületi polgármester nem lehet főpolgármester, valamint főpolgármester-helyettes.”</w:t>
      </w:r>
    </w:p>
    <w:p w:rsidR="00A776BF" w:rsidRPr="00A776BF" w:rsidRDefault="00A776BF" w:rsidP="00880405">
      <w:pPr>
        <w:spacing w:before="1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Az alpolgármesterre vonatkozó szabályokat az Mötv. 79.§ (2) bekezdésének általános utaló szabálya vonatkozik az alpolgármesteri összeférhetetlenségre is:</w:t>
      </w:r>
    </w:p>
    <w:p w:rsidR="00A776BF" w:rsidRPr="00A776BF" w:rsidRDefault="00A776BF" w:rsidP="00A776BF">
      <w:pPr>
        <w:pStyle w:val="Cmsor5"/>
        <w:spacing w:before="194" w:line="278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t>„(2) A polgármester, a megyei közgyűlés elnöke, a főpolgármester jogállására vonatkozó szabályokat az alpolgármesterre, a megyei közgyűlés alelnökére és a főpolgármester-</w:t>
      </w:r>
      <w:r w:rsidRPr="00A776B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helyettesre is megfelelően alkalmazni kell.”</w:t>
      </w:r>
      <w:r w:rsidRPr="00A776B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A776BF" w:rsidRPr="00A776BF" w:rsidRDefault="00A776BF" w:rsidP="00880405">
      <w:pPr>
        <w:spacing w:before="19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 xml:space="preserve">Az előbbi szabályok, valamint a polgármesteri összeférhetetlenségre vonatkozó – az Mötv. 72.§-ában meghatározott – rendelkezések alapján egyértelmű, hogy </w:t>
      </w:r>
      <w:r w:rsidR="00880405">
        <w:rPr>
          <w:rFonts w:ascii="Times New Roman" w:hAnsi="Times New Roman" w:cs="Times New Roman"/>
          <w:sz w:val="24"/>
          <w:szCs w:val="24"/>
        </w:rPr>
        <w:t>az</w:t>
      </w:r>
      <w:r w:rsidRPr="00A776BF">
        <w:rPr>
          <w:rFonts w:ascii="Times New Roman" w:hAnsi="Times New Roman" w:cs="Times New Roman"/>
          <w:sz w:val="24"/>
          <w:szCs w:val="24"/>
        </w:rPr>
        <w:t xml:space="preserve"> adott alpolgármesteri tisztséggel kapcsolatban melyik összeférhetetlenségi szabályt kell alkalmazni</w:t>
      </w:r>
      <w:r w:rsidR="00880405">
        <w:rPr>
          <w:rFonts w:ascii="Times New Roman" w:hAnsi="Times New Roman" w:cs="Times New Roman"/>
          <w:sz w:val="24"/>
          <w:szCs w:val="24"/>
        </w:rPr>
        <w:t xml:space="preserve">, így az </w:t>
      </w:r>
      <w:r w:rsidRPr="00A776BF">
        <w:rPr>
          <w:rFonts w:ascii="Times New Roman" w:hAnsi="Times New Roman" w:cs="Times New Roman"/>
          <w:sz w:val="24"/>
          <w:szCs w:val="24"/>
        </w:rPr>
        <w:t>alapvetően az adott település lakosságszámától, illetve a megbízatás jellegétől (főállású vagy társadalmi megbízatású) függhet.</w:t>
      </w:r>
    </w:p>
    <w:p w:rsidR="00A776BF" w:rsidRDefault="00A776BF" w:rsidP="00880405">
      <w:pPr>
        <w:spacing w:before="1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BF">
        <w:rPr>
          <w:rFonts w:ascii="Times New Roman" w:hAnsi="Times New Roman" w:cs="Times New Roman"/>
          <w:sz w:val="24"/>
          <w:szCs w:val="24"/>
        </w:rPr>
        <w:t>Az 1500 fő és az alatti települések esetében egyszerű a helyzet, mivel a főállású és társadalmi megbízatású alpolgármesterre is a 36.§-ban foglalt összeférhetetlenségi szabályokat rendeli a törvény alkalmazni</w:t>
      </w:r>
      <w:r w:rsidR="00880405">
        <w:rPr>
          <w:rFonts w:ascii="Times New Roman" w:hAnsi="Times New Roman" w:cs="Times New Roman"/>
          <w:sz w:val="24"/>
          <w:szCs w:val="24"/>
        </w:rPr>
        <w:t xml:space="preserve">. </w:t>
      </w:r>
      <w:r w:rsidRPr="00A776BF">
        <w:rPr>
          <w:rFonts w:ascii="Times New Roman" w:hAnsi="Times New Roman" w:cs="Times New Roman"/>
          <w:sz w:val="24"/>
          <w:szCs w:val="24"/>
        </w:rPr>
        <w:t>Az 1500 fő feletti lakosságszámú települések tekintetében – és ide tartozik a főváros is – a tisztség betöltésének módja a meghatározó elem. Amennyiben az alpolgármester társadalmi</w:t>
      </w:r>
      <w:r w:rsidR="00880405">
        <w:rPr>
          <w:rFonts w:ascii="Times New Roman" w:hAnsi="Times New Roman" w:cs="Times New Roman"/>
          <w:sz w:val="24"/>
          <w:szCs w:val="24"/>
        </w:rPr>
        <w:t xml:space="preserve"> </w:t>
      </w:r>
      <w:r w:rsidRPr="00A776BF">
        <w:rPr>
          <w:rFonts w:ascii="Times New Roman" w:hAnsi="Times New Roman" w:cs="Times New Roman"/>
          <w:sz w:val="24"/>
          <w:szCs w:val="24"/>
        </w:rPr>
        <w:t xml:space="preserve">megbízatásban látja el feladatait, akkor rá a 36. §-t – a 36. § (1) bekezdés </w:t>
      </w:r>
      <w:r w:rsidRPr="00A776BF"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A776BF">
        <w:rPr>
          <w:rFonts w:ascii="Times New Roman" w:hAnsi="Times New Roman" w:cs="Times New Roman"/>
          <w:sz w:val="24"/>
          <w:szCs w:val="24"/>
        </w:rPr>
        <w:t xml:space="preserve">pont </w:t>
      </w:r>
      <w:r w:rsidRPr="00A776BF">
        <w:rPr>
          <w:rFonts w:ascii="Times New Roman" w:hAnsi="Times New Roman" w:cs="Times New Roman"/>
          <w:i/>
          <w:sz w:val="24"/>
          <w:szCs w:val="24"/>
        </w:rPr>
        <w:t xml:space="preserve">ab) </w:t>
      </w:r>
      <w:r w:rsidRPr="00A776BF">
        <w:rPr>
          <w:rFonts w:ascii="Times New Roman" w:hAnsi="Times New Roman" w:cs="Times New Roman"/>
          <w:sz w:val="24"/>
          <w:szCs w:val="24"/>
        </w:rPr>
        <w:t>alpontja kivételével – kell alkalmazni, ha pedig főállásban, akkor a 72.§ (2) bekezdésében foglalt rendelkezéseket.</w:t>
      </w:r>
    </w:p>
    <w:p w:rsidR="00880405" w:rsidRDefault="00880405" w:rsidP="00880405">
      <w:pPr>
        <w:spacing w:before="1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Összeférhetetlenségi eljárás:</w:t>
      </w:r>
    </w:p>
    <w:p w:rsidR="00880405" w:rsidRPr="00D22345" w:rsidRDefault="00880405" w:rsidP="0088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22345">
        <w:rPr>
          <w:rFonts w:ascii="Times New Roman" w:hAnsi="Times New Roman" w:cs="Times New Roman"/>
          <w:sz w:val="24"/>
          <w:szCs w:val="24"/>
        </w:rPr>
        <w:t>ontos kiemelni, hogy az összeférhetetlenség, méltatlanság kimondása a képviselői megbízatás megszűnését is jelenti, vagyis lényegében „felülírja” a választópolgárok akaratát.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Másrészről az eljárásra is a köz érdekében van szükség, hiszen a cél az, hogy ne álljon fenn összeférhetetlen helyzet. Ezért az eljárás során a lehető legnagyobb mértékben be kell tartani a konkrét jogszabályi rendelkezéseket, ám ezen felül is úgy kell eljárni, ahogyan azt az Mötv. az általános rendelkezések között, a 9.§-ban meghatározza:</w:t>
      </w:r>
    </w:p>
    <w:p w:rsidR="00880405" w:rsidRPr="00D22345" w:rsidRDefault="00880405" w:rsidP="00880405">
      <w:pPr>
        <w:pStyle w:val="Cmsor5"/>
        <w:spacing w:line="278" w:lineRule="auto"/>
        <w:ind w:left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22345">
        <w:rPr>
          <w:rFonts w:ascii="Times New Roman" w:hAnsi="Times New Roman" w:cs="Times New Roman"/>
          <w:b w:val="0"/>
          <w:bCs w:val="0"/>
          <w:sz w:val="24"/>
          <w:szCs w:val="24"/>
        </w:rPr>
        <w:t>„Az e törvényben meghatározott jogokat jóhiszeműen, a kölcsönös együttműködés elvét figyelembe véve, a társadalmi rendeltetésüknek megfelelően kell gyakorolni.”</w:t>
      </w:r>
      <w:r w:rsidRPr="00D223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880405" w:rsidRPr="00D22345" w:rsidRDefault="00880405" w:rsidP="00880405">
      <w:pPr>
        <w:spacing w:before="19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2345">
        <w:rPr>
          <w:rFonts w:ascii="Times New Roman" w:hAnsi="Times New Roman" w:cs="Times New Roman"/>
          <w:sz w:val="24"/>
          <w:szCs w:val="24"/>
        </w:rPr>
        <w:t>z ilyen ügyek fajsúlyosságát jellemzi, hogy az összeférhetetlenségi, méltatlansági és vagyonnyilatkozati ügyekben való döntés a képviselő-testület át nem ruházható hatásköre, illetve ezen ügyekben zárt ülésen, minősített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többséggel dönt a képviselő-testület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405" w:rsidRPr="00D22345" w:rsidRDefault="00880405" w:rsidP="0088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>Az összeférhetetlen</w:t>
      </w:r>
      <w:r>
        <w:rPr>
          <w:rFonts w:ascii="Times New Roman" w:hAnsi="Times New Roman" w:cs="Times New Roman"/>
          <w:sz w:val="24"/>
          <w:szCs w:val="24"/>
        </w:rPr>
        <w:t>, méltatlansági</w:t>
      </w:r>
      <w:r w:rsidRPr="00D22345">
        <w:rPr>
          <w:rFonts w:ascii="Times New Roman" w:hAnsi="Times New Roman" w:cs="Times New Roman"/>
          <w:sz w:val="24"/>
          <w:szCs w:val="24"/>
        </w:rPr>
        <w:t xml:space="preserve"> helyzet kialakulását elsősorban magának a képviselőnek kell elkerülnie, illetve fennállása esetén megszüntetnie. Az Mötv. tehát elsődlegesen a képviselőre telepíti annak a felelősségét, hogy az összeférhetetlenségi</w:t>
      </w:r>
      <w:r>
        <w:rPr>
          <w:rFonts w:ascii="Times New Roman" w:hAnsi="Times New Roman" w:cs="Times New Roman"/>
          <w:sz w:val="24"/>
          <w:szCs w:val="24"/>
        </w:rPr>
        <w:t>, méltatlansági</w:t>
      </w:r>
      <w:r w:rsidRPr="00D22345">
        <w:rPr>
          <w:rFonts w:ascii="Times New Roman" w:hAnsi="Times New Roman" w:cs="Times New Roman"/>
          <w:sz w:val="24"/>
          <w:szCs w:val="24"/>
        </w:rPr>
        <w:t xml:space="preserve"> helyzetet szüntesse meg a megválasztásától vagy az ok felmerülésétől számított harminc napon belül.</w:t>
      </w:r>
    </w:p>
    <w:p w:rsidR="00880405" w:rsidRPr="00D22345" w:rsidRDefault="00880405" w:rsidP="00880405">
      <w:pPr>
        <w:pStyle w:val="Szvegtrzs"/>
        <w:spacing w:before="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22345">
        <w:rPr>
          <w:rFonts w:ascii="Times New Roman" w:hAnsi="Times New Roman" w:cs="Times New Roman"/>
          <w:sz w:val="24"/>
          <w:szCs w:val="24"/>
        </w:rPr>
        <w:t>lőfordulhat olyan összeférhetetlen helyzet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345">
        <w:rPr>
          <w:rFonts w:ascii="Times New Roman" w:hAnsi="Times New Roman" w:cs="Times New Roman"/>
          <w:sz w:val="24"/>
          <w:szCs w:val="24"/>
        </w:rPr>
        <w:t xml:space="preserve"> amely 30 nap alatt nem szüntethető meg. Ilyen esetben, ha a képviselő minden tőle telhetőt megtesz az összeférhetetlen helyzet felszámolására, akkor az Mötv. ezt az összeférhetetlenség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megszűntetésével egyenértékűnek fogadja 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345">
        <w:rPr>
          <w:rFonts w:ascii="Times New Roman" w:hAnsi="Times New Roman" w:cs="Times New Roman"/>
          <w:sz w:val="24"/>
          <w:szCs w:val="24"/>
        </w:rPr>
        <w:t xml:space="preserve"> Az Mötv. rögzíti, hogy amennyiben a jogszabályban meghatározottak szerint nem lehetséges az összeférhetetlenségi ok alapjául szolgáló jogviszony harminc napon belül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történő megszüntetése, akkor az önkormányzati képviselő által tett és a jogviszony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megszüntetéséről szóló, az arra jogosult által írásban megerősített lemondó nyilatkozatának a szervezeti és működési szabályzatban meghatározott bizottságnak történő átadását az összeférhetetlenség megszüntetésének kell tekinteni.</w:t>
      </w:r>
    </w:p>
    <w:p w:rsidR="00880405" w:rsidRPr="00D22345" w:rsidRDefault="00880405" w:rsidP="00880405">
      <w:pPr>
        <w:spacing w:before="193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 xml:space="preserve">Amennyiben a képviselő az összeférhetetlenség felszámolására vonatkozó kötelezettségének nem tesz eleget, bármely önkormányzati képviselő vagy bizottság indítványára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2345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lastRenderedPageBreak/>
        <w:t>összeférhetetlenséggel kapcsolatos feladatokat ellátó bizottság javaslata alapján – a képviselő-testület a következő ülésén, legkésőbb az összeférhetetlenség megállapításának kezdeményezését követő harminc napon belül határozattal megállapítja az összeférhetetlenség alapjául szolgáló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körülmények fennállását, és kimondja az összeférhetetlenséget. A képviselő-testület határozatát az önkormányzati képviselőnek és a kormányhivatalnak kézbesíteni kell. A jogalkotó az eljárás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lefolytatására és a döntéshozatalra nyitva álló időt igen „szűken” szabta meg, amit leginkább a jogellenes helyzet fennállása indokol. Kógens rendelkezés, hogy amennyiben az összeférhetetlen helyzet fennállását megállapítják, akkor a képviselő-testület köteles kimondani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összeférhetetlenséget. Erről tájékoztatnia kell a kormányhivatalt.</w:t>
      </w:r>
    </w:p>
    <w:p w:rsidR="00880405" w:rsidRPr="00D22345" w:rsidRDefault="00880405" w:rsidP="008804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>Az Mötv. bárki számára lehetőséget biztosít arra, hogy a képviselő összeférhetetlen helyzetének megállapítást kezdeményezze. Ezt azonban csak a polgármesternél lehet megtenni, aki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kezdeményezést azonnal továbbítja az illetékes bizottsághoz. Az ismételt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2345">
        <w:rPr>
          <w:rFonts w:ascii="Times New Roman" w:hAnsi="Times New Roman" w:cs="Times New Roman"/>
          <w:sz w:val="24"/>
          <w:szCs w:val="24"/>
        </w:rPr>
        <w:t>rosszindulatú kezdeményezések kiszűrését szolgálja, hogy amennyiben azok új tényt vagy körülményt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tartalmaznak, akkor az illetékes bizottság – tehát kiemelendő, hogy nem a polgármester – külön vizsgálat nélkül lezárhatja az ügyet. Ekkor a képviselő-testület elé már újból nem kerül az ügy, és testületi határozathozatalra sem kerül sor.</w:t>
      </w:r>
    </w:p>
    <w:p w:rsidR="00880405" w:rsidRPr="00D22345" w:rsidRDefault="00880405" w:rsidP="00880405">
      <w:pPr>
        <w:pStyle w:val="Szvegtrzs"/>
        <w:spacing w:before="193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>A jogorvoslat garanciáit teremti meg az Mötv. 37.§ (4) és (5) bekezdéseiben található szabályozás, amelyek alapvető és egyértelmű tartalommal bírnak. Ezek szerint a képviselő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összeférhetetlenségét, a tisztsége megszűnését megállapító képviselő-testületi határozat felülvizsgálatát kérheti - jogszabálysértésre hivatkozással - a határozat kézhezvételétől számított nyolc napon belül a törvényszéktől. A bíróság a kérelemről – annak beérkezésétől számított harminc napon belül – nemperes eljárásban, három hivatásos bíróból álló tanácsban határoz. A bíróság az önkormányzati képviselőt, a keresettel megtámadott határozatot hozó képviselő-testület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képviselőjét, a kereset előterjesztőjét meghallgathatja. A bíróság döntése ellen további jogorvoslatnak, felülvizsgálatnak helye nincs.</w:t>
      </w:r>
    </w:p>
    <w:p w:rsidR="00880405" w:rsidRPr="00D22345" w:rsidRDefault="00880405" w:rsidP="00880405">
      <w:pPr>
        <w:pStyle w:val="Szvegtrzs"/>
        <w:spacing w:before="195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>Az Mötv. a kormányhivatalnak – külön szabályozott eljárás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keretében – biztosít kezdeményezési lehetőséget. E szerint a kormányhivatal a törvényszéknél kezdeményezheti az önkormányzati képviselő összeférhetetlenségének a kimondását, ha</w:t>
      </w:r>
      <w:r w:rsidRPr="00D2234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képviselő-testület nem dönt az összeférhetetlenségről vagy döntése jogszabálysértő. A bíróság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eljárására a fenti alap-eljárásra vonatkozó rendelkezéseket kell alkalmazni azzal az eltéréssel, hogy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bíróság döntése ellen – annak kézhezvételétől számított nyolc napon belül – az érintett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345">
        <w:rPr>
          <w:rFonts w:ascii="Times New Roman" w:hAnsi="Times New Roman" w:cs="Times New Roman"/>
          <w:sz w:val="24"/>
          <w:szCs w:val="24"/>
        </w:rPr>
        <w:t>önkormányzati képviselő, valamint a kormányhivatal fellebbezést nyújthat be. A fellebbezésről, annak beérkezésétől számított három napon belül a másodfokú bíróság nemperes eljárásban, három hivatásos bíróból álló tanácsban határoz. A bíróság döntése ellen felülvizsgálatnak helye nincs.</w:t>
      </w:r>
    </w:p>
    <w:p w:rsidR="00880405" w:rsidRPr="00D22345" w:rsidRDefault="00880405" w:rsidP="00880405">
      <w:pPr>
        <w:pStyle w:val="Szvegtrzs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880405" w:rsidRPr="00617210" w:rsidRDefault="00880405" w:rsidP="00617210">
      <w:pPr>
        <w:pStyle w:val="Szvegtrzs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45">
        <w:rPr>
          <w:rFonts w:ascii="Times New Roman" w:hAnsi="Times New Roman" w:cs="Times New Roman"/>
          <w:sz w:val="24"/>
          <w:szCs w:val="24"/>
        </w:rPr>
        <w:t>Szintén a jogbiztonságot szolgálja, hogy a megszűnés pillanatát is konkrétan rögzít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22345">
        <w:rPr>
          <w:rFonts w:ascii="Times New Roman" w:hAnsi="Times New Roman" w:cs="Times New Roman"/>
          <w:sz w:val="24"/>
          <w:szCs w:val="24"/>
        </w:rPr>
        <w:t xml:space="preserve"> az Mötv. E szerint a képviselő tisztsége a képviselő-testület összeférhetetlenséget megállapító határozata – ha az ellen a rendelkezésre álló határidő alatt jogorvoslat iránti kérelemmel nem éltek – meghozatalának napján, jogorvoslati kérelem előterjesztése esetén a bírósági döntés jogerőssé válása napján szűnik meg.</w:t>
      </w:r>
    </w:p>
    <w:p w:rsidR="00450189" w:rsidRPr="00A776BF" w:rsidRDefault="003F7365" w:rsidP="00A776B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Bonyhád, 2019. október 18.</w:t>
      </w:r>
    </w:p>
    <w:p w:rsidR="00450189" w:rsidRPr="00A776BF" w:rsidRDefault="0038591E" w:rsidP="00A776BF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hAnsi="Times New Roman" w:cs="Times New Roman"/>
          <w:bCs/>
          <w:sz w:val="24"/>
          <w:szCs w:val="24"/>
        </w:rPr>
        <w:t>Dr. Puskásné Dr. Szeghy Petra</w:t>
      </w:r>
    </w:p>
    <w:p w:rsidR="008072BD" w:rsidRPr="00A776BF" w:rsidRDefault="0038591E" w:rsidP="00880405">
      <w:pPr>
        <w:spacing w:after="0"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       </w:t>
      </w:r>
      <w:r w:rsidR="00450189"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A776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jegyző</w:t>
      </w:r>
    </w:p>
    <w:sectPr w:rsidR="008072BD" w:rsidRPr="00A776BF" w:rsidSect="005D744C">
      <w:headerReference w:type="firs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7A" w:rsidRDefault="00E1717A" w:rsidP="008807C0">
      <w:pPr>
        <w:spacing w:after="0" w:line="240" w:lineRule="auto"/>
      </w:pPr>
      <w:r>
        <w:separator/>
      </w:r>
    </w:p>
  </w:endnote>
  <w:endnote w:type="continuationSeparator" w:id="0">
    <w:p w:rsidR="00E1717A" w:rsidRDefault="00E1717A" w:rsidP="0088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7A" w:rsidRDefault="00E1717A" w:rsidP="008807C0">
      <w:pPr>
        <w:spacing w:after="0" w:line="240" w:lineRule="auto"/>
      </w:pPr>
      <w:r>
        <w:separator/>
      </w:r>
    </w:p>
  </w:footnote>
  <w:footnote w:type="continuationSeparator" w:id="0">
    <w:p w:rsidR="00E1717A" w:rsidRDefault="00E1717A" w:rsidP="0088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4C" w:rsidRDefault="005D744C" w:rsidP="005D744C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  <w:r w:rsidRPr="008807C0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-177800</wp:posOffset>
          </wp:positionV>
          <wp:extent cx="1282976" cy="884583"/>
          <wp:effectExtent l="0" t="0" r="0" b="0"/>
          <wp:wrapTight wrapText="bothSides">
            <wp:wrapPolygon edited="0">
              <wp:start x="4170" y="0"/>
              <wp:lineTo x="0" y="3256"/>
              <wp:lineTo x="0" y="10699"/>
              <wp:lineTo x="321" y="20933"/>
              <wp:lineTo x="21172" y="20933"/>
              <wp:lineTo x="21172" y="3256"/>
              <wp:lineTo x="17002" y="0"/>
              <wp:lineTo x="4170" y="0"/>
            </wp:wrapPolygon>
          </wp:wrapTight>
          <wp:docPr id="7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976" cy="884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07C0">
      <w:rPr>
        <w:rFonts w:ascii="Times New Roman" w:hAnsi="Times New Roman" w:cs="Times New Roman"/>
        <w:b/>
        <w:sz w:val="36"/>
        <w:szCs w:val="36"/>
      </w:rPr>
      <w:t>Bonyhád Város Önkormányzata</w:t>
    </w:r>
  </w:p>
  <w:p w:rsidR="005D744C" w:rsidRDefault="005D744C" w:rsidP="005D744C">
    <w:pPr>
      <w:pStyle w:val="lfej"/>
      <w:jc w:val="center"/>
      <w:rPr>
        <w:rFonts w:ascii="Times New Roman" w:hAnsi="Times New Roman" w:cs="Times New Roman"/>
        <w:b/>
        <w:sz w:val="36"/>
        <w:szCs w:val="36"/>
      </w:rPr>
    </w:pPr>
  </w:p>
  <w:p w:rsidR="008807C0" w:rsidRDefault="000B105C" w:rsidP="008807C0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40.85pt;margin-top:22.6pt;width:524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HBzAEAAH0DAAAOAAAAZHJzL2Uyb0RvYy54bWysU01vGyEQvVfqf0Dc6127it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Sd5w5sGTRl13C&#10;Upl9zPKMPjaUtXabkAcUB/foH1D8iszhegDXq5L8dPSEnWZE9QckH6KnItvxO0rKAeIvWh26YDMl&#10;qcAOxZLj1RJ1SEzQ5Xx+s/i8uOFMXGIVNBegDzF9U2hZ3rQ8pgC6H9IanSPjMUxLGdg/xJTbguYC&#10;yFUd3mtjiv/GsZF6ny3quiAiGi1zNOfF0G/XJrA95CdUvjIkRV6nBdw5WdgGBfLreZ9Am9Oeqht3&#10;1ibLcRJ2i/K4CRfNyOPS5vk95kf0+lzQL3/N6jcA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tkTxwcwBAAB9AwAADgAAAAAA&#10;AAAAAAAAAAAuAgAAZHJzL2Uyb0RvYy54bWxQSwECLQAUAAYACAAAACEAzUGq4tsAAAAJAQAADwAA&#10;AAAAAAAAAAAAAAAmBAAAZHJzL2Rvd25yZXYueG1sUEsFBgAAAAAEAAQA8wAAAC4FAAAAAA==&#10;" strokeweight="1pt"/>
      </w:pict>
    </w:r>
  </w:p>
  <w:p w:rsidR="008807C0" w:rsidRDefault="008807C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450"/>
    <w:multiLevelType w:val="hybridMultilevel"/>
    <w:tmpl w:val="5E8E0890"/>
    <w:lvl w:ilvl="0" w:tplc="D0B2EFD0">
      <w:start w:val="1"/>
      <w:numFmt w:val="lowerLetter"/>
      <w:lvlText w:val="%1)"/>
      <w:lvlJc w:val="left"/>
      <w:pPr>
        <w:ind w:left="116" w:hanging="235"/>
      </w:pPr>
      <w:rPr>
        <w:rFonts w:ascii="Times New Roman" w:eastAsia="Calibri" w:hAnsi="Times New Roman" w:cs="Times New Roman" w:hint="default"/>
        <w:b w:val="0"/>
        <w:bCs w:val="0"/>
        <w:i/>
        <w:w w:val="100"/>
        <w:sz w:val="22"/>
        <w:szCs w:val="22"/>
        <w:lang w:val="hu-HU" w:eastAsia="hu-HU" w:bidi="hu-HU"/>
      </w:rPr>
    </w:lvl>
    <w:lvl w:ilvl="1" w:tplc="4C0E245C">
      <w:numFmt w:val="bullet"/>
      <w:lvlText w:val="•"/>
      <w:lvlJc w:val="left"/>
      <w:pPr>
        <w:ind w:left="1038" w:hanging="235"/>
      </w:pPr>
      <w:rPr>
        <w:rFonts w:hint="default"/>
        <w:lang w:val="hu-HU" w:eastAsia="hu-HU" w:bidi="hu-HU"/>
      </w:rPr>
    </w:lvl>
    <w:lvl w:ilvl="2" w:tplc="28FE150A">
      <w:numFmt w:val="bullet"/>
      <w:lvlText w:val="•"/>
      <w:lvlJc w:val="left"/>
      <w:pPr>
        <w:ind w:left="1957" w:hanging="235"/>
      </w:pPr>
      <w:rPr>
        <w:rFonts w:hint="default"/>
        <w:lang w:val="hu-HU" w:eastAsia="hu-HU" w:bidi="hu-HU"/>
      </w:rPr>
    </w:lvl>
    <w:lvl w:ilvl="3" w:tplc="8F5AF924">
      <w:numFmt w:val="bullet"/>
      <w:lvlText w:val="•"/>
      <w:lvlJc w:val="left"/>
      <w:pPr>
        <w:ind w:left="2875" w:hanging="235"/>
      </w:pPr>
      <w:rPr>
        <w:rFonts w:hint="default"/>
        <w:lang w:val="hu-HU" w:eastAsia="hu-HU" w:bidi="hu-HU"/>
      </w:rPr>
    </w:lvl>
    <w:lvl w:ilvl="4" w:tplc="A5C2A930">
      <w:numFmt w:val="bullet"/>
      <w:lvlText w:val="•"/>
      <w:lvlJc w:val="left"/>
      <w:pPr>
        <w:ind w:left="3794" w:hanging="235"/>
      </w:pPr>
      <w:rPr>
        <w:rFonts w:hint="default"/>
        <w:lang w:val="hu-HU" w:eastAsia="hu-HU" w:bidi="hu-HU"/>
      </w:rPr>
    </w:lvl>
    <w:lvl w:ilvl="5" w:tplc="3B7A044C">
      <w:numFmt w:val="bullet"/>
      <w:lvlText w:val="•"/>
      <w:lvlJc w:val="left"/>
      <w:pPr>
        <w:ind w:left="4713" w:hanging="235"/>
      </w:pPr>
      <w:rPr>
        <w:rFonts w:hint="default"/>
        <w:lang w:val="hu-HU" w:eastAsia="hu-HU" w:bidi="hu-HU"/>
      </w:rPr>
    </w:lvl>
    <w:lvl w:ilvl="6" w:tplc="27C64B58">
      <w:numFmt w:val="bullet"/>
      <w:lvlText w:val="•"/>
      <w:lvlJc w:val="left"/>
      <w:pPr>
        <w:ind w:left="5631" w:hanging="235"/>
      </w:pPr>
      <w:rPr>
        <w:rFonts w:hint="default"/>
        <w:lang w:val="hu-HU" w:eastAsia="hu-HU" w:bidi="hu-HU"/>
      </w:rPr>
    </w:lvl>
    <w:lvl w:ilvl="7" w:tplc="C4F47CE8">
      <w:numFmt w:val="bullet"/>
      <w:lvlText w:val="•"/>
      <w:lvlJc w:val="left"/>
      <w:pPr>
        <w:ind w:left="6550" w:hanging="235"/>
      </w:pPr>
      <w:rPr>
        <w:rFonts w:hint="default"/>
        <w:lang w:val="hu-HU" w:eastAsia="hu-HU" w:bidi="hu-HU"/>
      </w:rPr>
    </w:lvl>
    <w:lvl w:ilvl="8" w:tplc="719E1834">
      <w:numFmt w:val="bullet"/>
      <w:lvlText w:val="•"/>
      <w:lvlJc w:val="left"/>
      <w:pPr>
        <w:ind w:left="7469" w:hanging="235"/>
      </w:pPr>
      <w:rPr>
        <w:rFonts w:hint="default"/>
        <w:lang w:val="hu-HU" w:eastAsia="hu-HU" w:bidi="hu-HU"/>
      </w:rPr>
    </w:lvl>
  </w:abstractNum>
  <w:abstractNum w:abstractNumId="1">
    <w:nsid w:val="46D7582C"/>
    <w:multiLevelType w:val="hybridMultilevel"/>
    <w:tmpl w:val="9AB82E56"/>
    <w:lvl w:ilvl="0" w:tplc="E7FA2672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50A2B66E">
      <w:numFmt w:val="bullet"/>
      <w:lvlText w:val="•"/>
      <w:lvlJc w:val="left"/>
      <w:pPr>
        <w:ind w:left="1038" w:hanging="118"/>
      </w:pPr>
      <w:rPr>
        <w:rFonts w:hint="default"/>
        <w:lang w:val="hu-HU" w:eastAsia="hu-HU" w:bidi="hu-HU"/>
      </w:rPr>
    </w:lvl>
    <w:lvl w:ilvl="2" w:tplc="0C1E3D52">
      <w:numFmt w:val="bullet"/>
      <w:lvlText w:val="•"/>
      <w:lvlJc w:val="left"/>
      <w:pPr>
        <w:ind w:left="1957" w:hanging="118"/>
      </w:pPr>
      <w:rPr>
        <w:rFonts w:hint="default"/>
        <w:lang w:val="hu-HU" w:eastAsia="hu-HU" w:bidi="hu-HU"/>
      </w:rPr>
    </w:lvl>
    <w:lvl w:ilvl="3" w:tplc="D9F899DE">
      <w:numFmt w:val="bullet"/>
      <w:lvlText w:val="•"/>
      <w:lvlJc w:val="left"/>
      <w:pPr>
        <w:ind w:left="2875" w:hanging="118"/>
      </w:pPr>
      <w:rPr>
        <w:rFonts w:hint="default"/>
        <w:lang w:val="hu-HU" w:eastAsia="hu-HU" w:bidi="hu-HU"/>
      </w:rPr>
    </w:lvl>
    <w:lvl w:ilvl="4" w:tplc="67A214E4">
      <w:numFmt w:val="bullet"/>
      <w:lvlText w:val="•"/>
      <w:lvlJc w:val="left"/>
      <w:pPr>
        <w:ind w:left="3794" w:hanging="118"/>
      </w:pPr>
      <w:rPr>
        <w:rFonts w:hint="default"/>
        <w:lang w:val="hu-HU" w:eastAsia="hu-HU" w:bidi="hu-HU"/>
      </w:rPr>
    </w:lvl>
    <w:lvl w:ilvl="5" w:tplc="E87A4FFE">
      <w:numFmt w:val="bullet"/>
      <w:lvlText w:val="•"/>
      <w:lvlJc w:val="left"/>
      <w:pPr>
        <w:ind w:left="4713" w:hanging="118"/>
      </w:pPr>
      <w:rPr>
        <w:rFonts w:hint="default"/>
        <w:lang w:val="hu-HU" w:eastAsia="hu-HU" w:bidi="hu-HU"/>
      </w:rPr>
    </w:lvl>
    <w:lvl w:ilvl="6" w:tplc="115C4AF6">
      <w:numFmt w:val="bullet"/>
      <w:lvlText w:val="•"/>
      <w:lvlJc w:val="left"/>
      <w:pPr>
        <w:ind w:left="5631" w:hanging="118"/>
      </w:pPr>
      <w:rPr>
        <w:rFonts w:hint="default"/>
        <w:lang w:val="hu-HU" w:eastAsia="hu-HU" w:bidi="hu-HU"/>
      </w:rPr>
    </w:lvl>
    <w:lvl w:ilvl="7" w:tplc="253A666C">
      <w:numFmt w:val="bullet"/>
      <w:lvlText w:val="•"/>
      <w:lvlJc w:val="left"/>
      <w:pPr>
        <w:ind w:left="6550" w:hanging="118"/>
      </w:pPr>
      <w:rPr>
        <w:rFonts w:hint="default"/>
        <w:lang w:val="hu-HU" w:eastAsia="hu-HU" w:bidi="hu-HU"/>
      </w:rPr>
    </w:lvl>
    <w:lvl w:ilvl="8" w:tplc="9C366180">
      <w:numFmt w:val="bullet"/>
      <w:lvlText w:val="•"/>
      <w:lvlJc w:val="left"/>
      <w:pPr>
        <w:ind w:left="7469" w:hanging="118"/>
      </w:pPr>
      <w:rPr>
        <w:rFonts w:hint="default"/>
        <w:lang w:val="hu-HU" w:eastAsia="hu-HU" w:bidi="hu-HU"/>
      </w:rPr>
    </w:lvl>
  </w:abstractNum>
  <w:abstractNum w:abstractNumId="2">
    <w:nsid w:val="7232411B"/>
    <w:multiLevelType w:val="hybridMultilevel"/>
    <w:tmpl w:val="043250D2"/>
    <w:lvl w:ilvl="0" w:tplc="1FFE9E82">
      <w:start w:val="2"/>
      <w:numFmt w:val="decimal"/>
      <w:lvlText w:val="(%1)"/>
      <w:lvlJc w:val="left"/>
      <w:pPr>
        <w:ind w:left="116" w:hanging="299"/>
      </w:pPr>
      <w:rPr>
        <w:rFonts w:ascii="Times New Roman" w:eastAsia="Calibri" w:hAnsi="Times New Roman" w:cs="Times New Roman" w:hint="default"/>
        <w:b w:val="0"/>
        <w:bCs w:val="0"/>
        <w:i/>
        <w:w w:val="100"/>
        <w:sz w:val="24"/>
        <w:szCs w:val="24"/>
        <w:lang w:val="hu-HU" w:eastAsia="hu-HU" w:bidi="hu-HU"/>
      </w:rPr>
    </w:lvl>
    <w:lvl w:ilvl="1" w:tplc="30581796">
      <w:numFmt w:val="bullet"/>
      <w:lvlText w:val="•"/>
      <w:lvlJc w:val="left"/>
      <w:pPr>
        <w:ind w:left="1038" w:hanging="299"/>
      </w:pPr>
      <w:rPr>
        <w:rFonts w:hint="default"/>
        <w:lang w:val="hu-HU" w:eastAsia="hu-HU" w:bidi="hu-HU"/>
      </w:rPr>
    </w:lvl>
    <w:lvl w:ilvl="2" w:tplc="3C6A102C">
      <w:numFmt w:val="bullet"/>
      <w:lvlText w:val="•"/>
      <w:lvlJc w:val="left"/>
      <w:pPr>
        <w:ind w:left="1957" w:hanging="299"/>
      </w:pPr>
      <w:rPr>
        <w:rFonts w:hint="default"/>
        <w:lang w:val="hu-HU" w:eastAsia="hu-HU" w:bidi="hu-HU"/>
      </w:rPr>
    </w:lvl>
    <w:lvl w:ilvl="3" w:tplc="D8A00026">
      <w:numFmt w:val="bullet"/>
      <w:lvlText w:val="•"/>
      <w:lvlJc w:val="left"/>
      <w:pPr>
        <w:ind w:left="2875" w:hanging="299"/>
      </w:pPr>
      <w:rPr>
        <w:rFonts w:hint="default"/>
        <w:lang w:val="hu-HU" w:eastAsia="hu-HU" w:bidi="hu-HU"/>
      </w:rPr>
    </w:lvl>
    <w:lvl w:ilvl="4" w:tplc="04D6D78A">
      <w:numFmt w:val="bullet"/>
      <w:lvlText w:val="•"/>
      <w:lvlJc w:val="left"/>
      <w:pPr>
        <w:ind w:left="3794" w:hanging="299"/>
      </w:pPr>
      <w:rPr>
        <w:rFonts w:hint="default"/>
        <w:lang w:val="hu-HU" w:eastAsia="hu-HU" w:bidi="hu-HU"/>
      </w:rPr>
    </w:lvl>
    <w:lvl w:ilvl="5" w:tplc="42AE5FBE">
      <w:numFmt w:val="bullet"/>
      <w:lvlText w:val="•"/>
      <w:lvlJc w:val="left"/>
      <w:pPr>
        <w:ind w:left="4713" w:hanging="299"/>
      </w:pPr>
      <w:rPr>
        <w:rFonts w:hint="default"/>
        <w:lang w:val="hu-HU" w:eastAsia="hu-HU" w:bidi="hu-HU"/>
      </w:rPr>
    </w:lvl>
    <w:lvl w:ilvl="6" w:tplc="52BA17DE">
      <w:numFmt w:val="bullet"/>
      <w:lvlText w:val="•"/>
      <w:lvlJc w:val="left"/>
      <w:pPr>
        <w:ind w:left="5631" w:hanging="299"/>
      </w:pPr>
      <w:rPr>
        <w:rFonts w:hint="default"/>
        <w:lang w:val="hu-HU" w:eastAsia="hu-HU" w:bidi="hu-HU"/>
      </w:rPr>
    </w:lvl>
    <w:lvl w:ilvl="7" w:tplc="E0E2FC9A">
      <w:numFmt w:val="bullet"/>
      <w:lvlText w:val="•"/>
      <w:lvlJc w:val="left"/>
      <w:pPr>
        <w:ind w:left="6550" w:hanging="299"/>
      </w:pPr>
      <w:rPr>
        <w:rFonts w:hint="default"/>
        <w:lang w:val="hu-HU" w:eastAsia="hu-HU" w:bidi="hu-HU"/>
      </w:rPr>
    </w:lvl>
    <w:lvl w:ilvl="8" w:tplc="2C7035AA">
      <w:numFmt w:val="bullet"/>
      <w:lvlText w:val="•"/>
      <w:lvlJc w:val="left"/>
      <w:pPr>
        <w:ind w:left="7469" w:hanging="299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5BA4"/>
    <w:rsid w:val="000271EA"/>
    <w:rsid w:val="000B105C"/>
    <w:rsid w:val="002574CA"/>
    <w:rsid w:val="002634FF"/>
    <w:rsid w:val="002C46D8"/>
    <w:rsid w:val="002E4688"/>
    <w:rsid w:val="00315BA4"/>
    <w:rsid w:val="003254C5"/>
    <w:rsid w:val="003779BE"/>
    <w:rsid w:val="0038591E"/>
    <w:rsid w:val="003F7365"/>
    <w:rsid w:val="00432B7B"/>
    <w:rsid w:val="00445441"/>
    <w:rsid w:val="00450189"/>
    <w:rsid w:val="00466C14"/>
    <w:rsid w:val="00584DBC"/>
    <w:rsid w:val="00595B57"/>
    <w:rsid w:val="005A459D"/>
    <w:rsid w:val="005D744C"/>
    <w:rsid w:val="005F3178"/>
    <w:rsid w:val="00617210"/>
    <w:rsid w:val="006F1113"/>
    <w:rsid w:val="0074126E"/>
    <w:rsid w:val="00746BF4"/>
    <w:rsid w:val="00784BAB"/>
    <w:rsid w:val="008072BD"/>
    <w:rsid w:val="00880405"/>
    <w:rsid w:val="008807C0"/>
    <w:rsid w:val="008A6318"/>
    <w:rsid w:val="008D28E0"/>
    <w:rsid w:val="0096769E"/>
    <w:rsid w:val="00A6507A"/>
    <w:rsid w:val="00A776BF"/>
    <w:rsid w:val="00A838C7"/>
    <w:rsid w:val="00A87115"/>
    <w:rsid w:val="00AE0790"/>
    <w:rsid w:val="00B015ED"/>
    <w:rsid w:val="00C9553B"/>
    <w:rsid w:val="00CF32D0"/>
    <w:rsid w:val="00D46D33"/>
    <w:rsid w:val="00D75AE4"/>
    <w:rsid w:val="00E1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BF4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77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link w:val="Cmsor5Char"/>
    <w:uiPriority w:val="9"/>
    <w:unhideWhenUsed/>
    <w:qFormat/>
    <w:rsid w:val="00A776BF"/>
    <w:pPr>
      <w:widowControl w:val="0"/>
      <w:autoSpaceDE w:val="0"/>
      <w:autoSpaceDN w:val="0"/>
      <w:spacing w:after="0" w:line="240" w:lineRule="auto"/>
      <w:ind w:left="116"/>
      <w:outlineLvl w:val="4"/>
    </w:pPr>
    <w:rPr>
      <w:rFonts w:ascii="Calibri" w:eastAsia="Calibri" w:hAnsi="Calibri" w:cs="Calibri"/>
      <w:b/>
      <w:bCs/>
      <w:i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315BA4"/>
  </w:style>
  <w:style w:type="character" w:styleId="Hiperhivatkozs">
    <w:name w:val="Hyperlink"/>
    <w:basedOn w:val="Bekezdsalapbettpusa"/>
    <w:uiPriority w:val="99"/>
    <w:semiHidden/>
    <w:unhideWhenUsed/>
    <w:rsid w:val="00315BA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07C0"/>
  </w:style>
  <w:style w:type="paragraph" w:styleId="llb">
    <w:name w:val="footer"/>
    <w:basedOn w:val="Norml"/>
    <w:link w:val="llbChar"/>
    <w:uiPriority w:val="99"/>
    <w:unhideWhenUsed/>
    <w:rsid w:val="00880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7C0"/>
  </w:style>
  <w:style w:type="paragraph" w:styleId="Szvegtrzs">
    <w:name w:val="Body Text"/>
    <w:basedOn w:val="Norml"/>
    <w:link w:val="SzvegtrzsChar"/>
    <w:uiPriority w:val="1"/>
    <w:qFormat/>
    <w:rsid w:val="006F11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6F1113"/>
    <w:rPr>
      <w:rFonts w:ascii="Calibri" w:eastAsia="Calibri" w:hAnsi="Calibri" w:cs="Calibri"/>
      <w:lang w:eastAsia="hu-HU" w:bidi="hu-HU"/>
    </w:rPr>
  </w:style>
  <w:style w:type="character" w:customStyle="1" w:styleId="Cmsor5Char">
    <w:name w:val="Címsor 5 Char"/>
    <w:basedOn w:val="Bekezdsalapbettpusa"/>
    <w:link w:val="Cmsor5"/>
    <w:uiPriority w:val="9"/>
    <w:rsid w:val="00A776BF"/>
    <w:rPr>
      <w:rFonts w:ascii="Calibri" w:eastAsia="Calibri" w:hAnsi="Calibri" w:cs="Calibri"/>
      <w:b/>
      <w:bCs/>
      <w:i/>
      <w:lang w:eastAsia="hu-HU" w:bidi="hu-HU"/>
    </w:rPr>
  </w:style>
  <w:style w:type="paragraph" w:styleId="Listaszerbekezds">
    <w:name w:val="List Paragraph"/>
    <w:basedOn w:val="Norml"/>
    <w:uiPriority w:val="1"/>
    <w:qFormat/>
    <w:rsid w:val="00A776BF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776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2142</Words>
  <Characters>14780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pedit</cp:lastModifiedBy>
  <cp:revision>2</cp:revision>
  <cp:lastPrinted>2019-10-18T11:37:00Z</cp:lastPrinted>
  <dcterms:created xsi:type="dcterms:W3CDTF">2019-10-18T12:19:00Z</dcterms:created>
  <dcterms:modified xsi:type="dcterms:W3CDTF">2019-10-18T12:19:00Z</dcterms:modified>
</cp:coreProperties>
</file>